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683D3"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baseline"/>
        <w:rPr>
          <w:rFonts w:hint="default" w:eastAsia="方正小标宋简体"/>
          <w:color w:val="000000"/>
          <w:sz w:val="43"/>
          <w:szCs w:val="43"/>
          <w:lang w:val="en-US" w:eastAsia="zh-CN"/>
        </w:rPr>
      </w:pPr>
      <w:bookmarkStart w:id="0" w:name="_GoBack"/>
      <w:r>
        <w:rPr>
          <w:rFonts w:hint="eastAsia"/>
          <w:color w:val="000000"/>
          <w:spacing w:val="9"/>
          <w:sz w:val="43"/>
          <w:szCs w:val="43"/>
          <w:lang w:eastAsia="zh-CN"/>
        </w:rPr>
        <w:t>唐山市</w:t>
      </w:r>
      <w:r>
        <w:rPr>
          <w:color w:val="000000"/>
          <w:spacing w:val="9"/>
          <w:sz w:val="43"/>
          <w:szCs w:val="43"/>
        </w:rPr>
        <w:t>医疗保障局</w:t>
      </w:r>
      <w:r>
        <w:rPr>
          <w:rFonts w:hint="eastAsia"/>
          <w:color w:val="000000"/>
          <w:spacing w:val="9"/>
          <w:sz w:val="43"/>
          <w:szCs w:val="43"/>
          <w:lang w:val="en-US" w:eastAsia="zh-CN"/>
        </w:rPr>
        <w:t>涉企行政检查标准</w:t>
      </w:r>
    </w:p>
    <w:bookmarkEnd w:id="0"/>
    <w:p w14:paraId="58077AA0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right="0"/>
        <w:jc w:val="both"/>
        <w:textAlignment w:val="auto"/>
        <w:outlineLvl w:val="1"/>
        <w:rPr>
          <w:rFonts w:ascii="黑体" w:hAnsi="黑体" w:eastAsia="黑体" w:cs="黑体"/>
          <w:snapToGrid/>
          <w:color w:val="000000"/>
          <w:spacing w:val="0"/>
          <w:kern w:val="2"/>
          <w:sz w:val="32"/>
          <w:szCs w:val="32"/>
        </w:rPr>
      </w:pPr>
    </w:p>
    <w:p w14:paraId="0A2B2F3A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重点检查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2023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1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1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日至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2024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12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31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日期间医保基金使用监督管理情况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如有需要可追溯检查以前年度或延伸检查至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</w:rPr>
        <w:t>2025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年度。</w:t>
      </w:r>
    </w:p>
    <w:p w14:paraId="023AA9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  <w:t>定点医疗机构</w:t>
      </w:r>
    </w:p>
    <w:p w14:paraId="351DD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一般违规问题。包括分解住院、挂床住院、过度诊疗、过度检查、分解处方、超量开药、重复开药或者提供其他不必要的医药服务、重复收费、超标准收费、分解项目收费等造成医疗保障基金损失等问题。</w:t>
      </w:r>
    </w:p>
    <w:p w14:paraId="6DD7A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聚焦骗保行为。包括拉拢诱导参保人虚假住院、收集医保凭证空刷套刷、无资质人员冒名违法开展诊疗活动、伪造医学文书、虚构医药服务项目，重点核查超长住院、频繁住院、结队住院以及利用困难群众、大病患者优厚待遇骗保等问题。</w:t>
      </w:r>
    </w:p>
    <w:p w14:paraId="17E24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聚焦重点领域。对已下发问题清单开展自查自纠的心内科、骨科、血液透析、康复、医学影像、临床检验、肺癌、麻醉、重症医学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个领域，着重检查自查自纠情况，对肿瘤、口腔、内分泌</w:t>
      </w:r>
      <w:r>
        <w:rPr>
          <w:rFonts w:hint="eastAsia" w:ascii="宋体" w:hAnsi="宋体" w:eastAsia="宋体" w:cs="宋体"/>
          <w:snapToGrid/>
          <w:color w:val="000000"/>
          <w:spacing w:val="0"/>
          <w:kern w:val="2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个领域，着重检查典型性违法违规问题。</w:t>
      </w:r>
    </w:p>
    <w:p w14:paraId="2E39E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聚焦突出问题。包括异地就医、处方流转等领域的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违法违规问题，落实医保支付方式改革中的高套分组、冲高点值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转嫁费用等问题，医保基金使用管理制度建设、实施等内部控制情况，关注涉嫌不正之风和腐败的问题。</w:t>
      </w:r>
    </w:p>
    <w:p w14:paraId="2E04C71C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  <w:t>二、定点零售药店</w:t>
      </w:r>
    </w:p>
    <w:p w14:paraId="6FF9D6BD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空刷套刷医保凭证骗保问题。</w:t>
      </w:r>
    </w:p>
    <w:p w14:paraId="12891D6C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无处方或伪造变造处方骗保问题。</w:t>
      </w:r>
    </w:p>
    <w:p w14:paraId="533C695C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参与或协助倒卖</w:t>
      </w:r>
      <w:r>
        <w:rPr>
          <w:rFonts w:ascii="Times New Roman" w:hAnsi="Times New Roman" w:eastAsia="Times New Roman" w:cs="Times New Roman"/>
          <w:snapToGrid/>
          <w:color w:val="000000"/>
          <w:spacing w:val="0"/>
          <w:kern w:val="2"/>
          <w:sz w:val="32"/>
          <w:szCs w:val="32"/>
        </w:rPr>
        <w:t>“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回流药</w:t>
      </w:r>
      <w:r>
        <w:rPr>
          <w:rFonts w:ascii="Times New Roman" w:hAnsi="Times New Roman" w:eastAsia="Times New Roman" w:cs="Times New Roman"/>
          <w:snapToGrid/>
          <w:color w:val="000000"/>
          <w:spacing w:val="0"/>
          <w:kern w:val="2"/>
          <w:sz w:val="32"/>
          <w:szCs w:val="32"/>
        </w:rPr>
        <w:t>”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问题。</w:t>
      </w:r>
    </w:p>
    <w:p w14:paraId="6BF4F367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串换医保药品问题。</w:t>
      </w:r>
    </w:p>
    <w:p w14:paraId="536579F5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诱导协助他人违规购药问题。</w:t>
      </w:r>
    </w:p>
    <w:p w14:paraId="0A7A3727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6.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特别要聚焦特殊药品使用中的“假病人”、药店自行伪造或勾结医药代表开具“假处方”以及倒卖“回流药”等问题。</w:t>
      </w:r>
    </w:p>
    <w:p w14:paraId="4A1E867A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val="en-US" w:eastAsia="zh-CN"/>
        </w:rPr>
        <w:t>7.</w:t>
      </w: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其他违法违规使用医保基金问题</w:t>
      </w:r>
      <w:r>
        <w:rPr>
          <w:rFonts w:hint="eastAsia" w:ascii="仿宋" w:hAnsi="仿宋" w:eastAsia="仿宋" w:cs="仿宋"/>
          <w:snapToGrid/>
          <w:color w:val="000000"/>
          <w:spacing w:val="0"/>
          <w:kern w:val="2"/>
          <w:sz w:val="32"/>
          <w:szCs w:val="32"/>
          <w:lang w:eastAsia="zh-CN"/>
        </w:rPr>
        <w:t>。</w:t>
      </w:r>
    </w:p>
    <w:p w14:paraId="634FC218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lang w:eastAsia="zh-CN"/>
        </w:rPr>
        <w:t>三、参保人</w:t>
      </w:r>
    </w:p>
    <w:p w14:paraId="73611B5D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</w:pPr>
      <w:r>
        <w:rPr>
          <w:rFonts w:ascii="仿宋" w:hAnsi="仿宋" w:eastAsia="仿宋" w:cs="仿宋"/>
          <w:snapToGrid/>
          <w:color w:val="000000"/>
          <w:spacing w:val="0"/>
          <w:kern w:val="2"/>
          <w:sz w:val="32"/>
          <w:szCs w:val="32"/>
        </w:rPr>
        <w:t>重点检查利用享受医疗保障待遇的机会，参与或协助定点医药机构欺诈骗保、倒卖“回流药”问题。</w:t>
      </w:r>
    </w:p>
    <w:p w14:paraId="72CBE9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6ECB2"/>
    <w:multiLevelType w:val="singleLevel"/>
    <w:tmpl w:val="8C86EC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1"/>
      <w:szCs w:val="7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2025-06-11T04:22:19Z</dcterms:created>
  <dc:creator>Administrator</dc:creator>
  <cp:lastModifiedBy>在身边。</cp:lastModifiedBy>
  <dcterms:modified xsi:type="dcterms:W3CDTF">2025-06-11T04:22:41Z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eyJoZGlkIjoiMzhiOTU3MDBkNTRjNDk3MzQyYzc4NTZkZTlhY2FlYzYiLCJ1c2VySWQiOiIxNTQ0NDYyMjM2In0=</vt:lpwstr>
  </property>
  <property fmtid="{D5CDD505-2E9C-101B-9397-08002B2CF9AE}" pid="4" name="ICV">
    <vt:lpwstr>E7B43AC766834090A00511036EA5C6B2_13</vt:lpwstr>
  </property>
</Properties>
</file>